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124E9" w14:textId="77777777" w:rsidR="004545D6" w:rsidRPr="00BE10CA" w:rsidRDefault="004545D6" w:rsidP="004545D6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E10CA">
        <w:rPr>
          <w:sz w:val="28"/>
          <w:szCs w:val="28"/>
        </w:rPr>
        <w:t>Конвенция Организации Объединенных Наций против коррупции</w:t>
      </w:r>
    </w:p>
    <w:p w14:paraId="7281B796" w14:textId="77777777" w:rsidR="004545D6" w:rsidRPr="00BE10CA" w:rsidRDefault="004545D6" w:rsidP="004545D6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i/>
            <w:iCs/>
            <w:sz w:val="28"/>
            <w:szCs w:val="28"/>
          </w:rPr>
          <w:t>резолюцией 58/4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14:paraId="756CF77E" w14:textId="77777777" w:rsidR="004545D6" w:rsidRPr="00BE10CA" w:rsidRDefault="004545D6" w:rsidP="004545D6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31 октября 2003 года</w:t>
      </w:r>
    </w:p>
    <w:p w14:paraId="705F87D8" w14:textId="77777777" w:rsidR="004545D6" w:rsidRPr="00BE10CA" w:rsidRDefault="004545D6" w:rsidP="004545D6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14:paraId="1BEB590A" w14:textId="77777777" w:rsidR="004545D6" w:rsidRPr="00BE10CA" w:rsidRDefault="004545D6" w:rsidP="004545D6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Статья 7. Публичный сектор</w:t>
      </w:r>
    </w:p>
    <w:p w14:paraId="2EC399F1" w14:textId="77777777" w:rsidR="004545D6" w:rsidRDefault="004545D6" w:rsidP="0045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0F58D11" w14:textId="77777777" w:rsidR="004545D6" w:rsidRDefault="004545D6" w:rsidP="0045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(…)</w:t>
      </w:r>
    </w:p>
    <w:p w14:paraId="073188D7" w14:textId="77777777" w:rsidR="004545D6" w:rsidRPr="00BE10CA" w:rsidRDefault="004545D6" w:rsidP="0045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2. Каждое Государство-участник также рассматривает возможность принятия надлежащих законодательных и административных мер, сообразно целям настоящей Конвенции и в соответствии с основополагающими принципами своего внутреннего законодательства, с тем чтобы установить критерии применительно к кандидатам и выборам на публичные должности.</w:t>
      </w:r>
    </w:p>
    <w:p w14:paraId="125B5469" w14:textId="77777777" w:rsidR="004545D6" w:rsidRPr="00BE10CA" w:rsidRDefault="004545D6" w:rsidP="0045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3. Каждое Государство-участник также рассматривает возможность принятия надлежащих законодательных и административных мер, сообразно целям настоящей Конвенции и в соответствии с основополагающими принципами своего внутреннего законодательства, с тем чтобы усилить прозрачность в финансировании кандидатур на избираемые публичные должности и, где это применимо, финансировании политических партий.</w:t>
      </w:r>
    </w:p>
    <w:p w14:paraId="54C1EB61" w14:textId="77777777" w:rsidR="004545D6" w:rsidRPr="00BE10CA" w:rsidRDefault="004545D6" w:rsidP="0045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4. Каждое Государство-участник стремится, в соответствии с основополагающими принципами своего внутреннего законодательства, создавать, поддерживать и укреплять такие системы, какие способствуют прозрачности и предупреждают возникновение коллизии интересов.</w:t>
      </w:r>
    </w:p>
    <w:p w14:paraId="2E6FBAA9" w14:textId="77777777"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D6"/>
    <w:rsid w:val="004545D6"/>
    <w:rsid w:val="00DA566B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BF66"/>
  <w15:chartTrackingRefBased/>
  <w15:docId w15:val="{B01C8042-6933-462A-8B27-F5B5B82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545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45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info">
    <w:name w:val="info"/>
    <w:basedOn w:val="a"/>
    <w:rsid w:val="0045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45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58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2024-03-05T06:25:00Z</dcterms:created>
  <dcterms:modified xsi:type="dcterms:W3CDTF">2024-03-05T06:25:00Z</dcterms:modified>
</cp:coreProperties>
</file>